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6F0F" w:rsidRPr="009105F1" w:rsidRDefault="009105F1" w:rsidP="009105F1">
      <w:pPr>
        <w:pStyle w:val="Default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105F1">
        <w:rPr>
          <w:rFonts w:ascii="Times New Roman" w:hAnsi="Times New Roman" w:cs="Times New Roman"/>
          <w:b/>
          <w:color w:val="auto"/>
          <w:sz w:val="28"/>
          <w:szCs w:val="28"/>
        </w:rPr>
        <w:t>Мировой опыт и м</w:t>
      </w:r>
      <w:r w:rsidR="00006F0F" w:rsidRPr="009105F1">
        <w:rPr>
          <w:rFonts w:ascii="Times New Roman" w:hAnsi="Times New Roman" w:cs="Times New Roman"/>
          <w:b/>
          <w:color w:val="auto"/>
          <w:sz w:val="28"/>
          <w:szCs w:val="28"/>
        </w:rPr>
        <w:t>еждунар</w:t>
      </w:r>
      <w:r w:rsidRPr="009105F1">
        <w:rPr>
          <w:rFonts w:ascii="Times New Roman" w:hAnsi="Times New Roman" w:cs="Times New Roman"/>
          <w:b/>
          <w:color w:val="auto"/>
          <w:sz w:val="28"/>
          <w:szCs w:val="28"/>
        </w:rPr>
        <w:t>одное сотрудничество в области прот</w:t>
      </w:r>
      <w:bookmarkStart w:id="0" w:name="_GoBack"/>
      <w:bookmarkEnd w:id="0"/>
      <w:r w:rsidRPr="009105F1">
        <w:rPr>
          <w:rFonts w:ascii="Times New Roman" w:hAnsi="Times New Roman" w:cs="Times New Roman"/>
          <w:b/>
          <w:color w:val="auto"/>
          <w:sz w:val="28"/>
          <w:szCs w:val="28"/>
        </w:rPr>
        <w:t>иводействия коррупции</w:t>
      </w:r>
    </w:p>
    <w:p w:rsidR="00006F0F" w:rsidRPr="009105F1" w:rsidRDefault="00006F0F" w:rsidP="009105F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06F0F" w:rsidRPr="009105F1" w:rsidRDefault="00006F0F" w:rsidP="009105F1">
      <w:pPr>
        <w:pStyle w:val="Default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105F1">
        <w:rPr>
          <w:rFonts w:ascii="Times New Roman" w:hAnsi="Times New Roman" w:cs="Times New Roman"/>
          <w:bCs/>
          <w:color w:val="auto"/>
          <w:sz w:val="28"/>
          <w:szCs w:val="28"/>
        </w:rPr>
        <w:t>Международные антикоррупционные стандарты: понятие и перспективы реализации в Российской Федерации</w:t>
      </w:r>
    </w:p>
    <w:p w:rsidR="009105F1" w:rsidRPr="009105F1" w:rsidRDefault="009105F1" w:rsidP="009105F1">
      <w:pPr>
        <w:pStyle w:val="a6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105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Участие России в международном антикоррупционном сотрудничестве</w:t>
      </w:r>
    </w:p>
    <w:p w:rsidR="009105F1" w:rsidRPr="009105F1" w:rsidRDefault="009105F1" w:rsidP="009105F1">
      <w:pPr>
        <w:pStyle w:val="Default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105F1">
        <w:rPr>
          <w:rFonts w:ascii="Times New Roman" w:hAnsi="Times New Roman" w:cs="Times New Roman"/>
          <w:color w:val="auto"/>
          <w:sz w:val="28"/>
          <w:szCs w:val="28"/>
        </w:rPr>
        <w:t>Применение цифровых технологий в противодействии коррупции: международный опыт</w:t>
      </w:r>
    </w:p>
    <w:p w:rsidR="00006F0F" w:rsidRPr="009105F1" w:rsidRDefault="00006F0F" w:rsidP="009105F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06F0F" w:rsidRPr="009105F1" w:rsidRDefault="00006F0F" w:rsidP="009105F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83016" w:rsidRPr="009105F1" w:rsidRDefault="00A83016" w:rsidP="009105F1">
      <w:pPr>
        <w:pStyle w:val="Default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105F1">
        <w:rPr>
          <w:rFonts w:ascii="Times New Roman" w:hAnsi="Times New Roman" w:cs="Times New Roman"/>
          <w:bCs/>
          <w:color w:val="auto"/>
          <w:sz w:val="28"/>
          <w:szCs w:val="28"/>
        </w:rPr>
        <w:t>Международные антикоррупционные стандарты: понятие и перспективы реализации в Российской Федерации</w:t>
      </w:r>
    </w:p>
    <w:p w:rsidR="00A56BEB" w:rsidRPr="009105F1" w:rsidRDefault="00A56BEB" w:rsidP="009105F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105F1">
        <w:rPr>
          <w:rFonts w:ascii="Times New Roman" w:hAnsi="Times New Roman" w:cs="Times New Roman"/>
          <w:color w:val="auto"/>
          <w:sz w:val="28"/>
          <w:szCs w:val="28"/>
        </w:rPr>
        <w:t xml:space="preserve">Противодействие всевозможным видам коррупционных проявлений - важнейшее условие построения эффективных экономик и благосостояния государств, сохранения социальной стабильности. Отличительной чертой современного этапа международного сотрудничества в противостоянии коррупции является создание международных антикоррупционных стандартов как одного из сегментов международно-правового регулирования противодействия коррупции. </w:t>
      </w:r>
    </w:p>
    <w:p w:rsidR="00A56BEB" w:rsidRPr="009105F1" w:rsidRDefault="00A56BEB" w:rsidP="009105F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9105F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Международные антикоррупционные стандарты - это совокупность правовых норм, принципов и рекомендаций, закрепленных в конвенциях ООН, Совета Европы и актах ОЭСР, направленных на криминализацию взяточничества, внедрение превентивных мер (прозрачность, кодексы этики) и международное сотрудничество. </w:t>
      </w:r>
    </w:p>
    <w:p w:rsidR="00006F0F" w:rsidRPr="009105F1" w:rsidRDefault="00006F0F" w:rsidP="009105F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105F1">
        <w:rPr>
          <w:rFonts w:ascii="Times New Roman" w:hAnsi="Times New Roman" w:cs="Times New Roman"/>
          <w:color w:val="auto"/>
          <w:sz w:val="28"/>
          <w:szCs w:val="28"/>
        </w:rPr>
        <w:t>Важность международного сотрудничества по вопросам предотвращения коррупции и взаимной правовой помощи при привлечении к ответственности за коррупцию еще раз была подчеркнута Российской Федерацией в рамках повестки Специальной сессии Генеральной Ассамблеи ООН при участии Бразилии, Индии, Китая, а также Управления ООН по наркотикам и преступности, Международной антикоррупционной академии, орга</w:t>
      </w:r>
      <w:r w:rsidR="00FE2819" w:rsidRPr="009105F1">
        <w:rPr>
          <w:rFonts w:ascii="Times New Roman" w:hAnsi="Times New Roman" w:cs="Times New Roman"/>
          <w:color w:val="auto"/>
          <w:sz w:val="28"/>
          <w:szCs w:val="28"/>
        </w:rPr>
        <w:t>низаций гражданского общества.</w:t>
      </w:r>
    </w:p>
    <w:p w:rsidR="00006F0F" w:rsidRPr="009105F1" w:rsidRDefault="00006F0F" w:rsidP="009105F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105F1">
        <w:rPr>
          <w:rFonts w:ascii="Times New Roman" w:hAnsi="Times New Roman" w:cs="Times New Roman"/>
          <w:color w:val="auto"/>
          <w:sz w:val="28"/>
          <w:szCs w:val="28"/>
        </w:rPr>
        <w:t xml:space="preserve">Следует отметить, что в нашем государстве принимаются системные меры противодействия коррупции, но, очевидно, что эффективность таких мер зависит от рационального сочетания внутригосударственных и международных усилий, взаимного сотрудничества с другими государствами, международными организациями через систему международных стандартов борьбы с коррупцией. </w:t>
      </w:r>
    </w:p>
    <w:p w:rsidR="00006F0F" w:rsidRPr="009105F1" w:rsidRDefault="00006F0F" w:rsidP="009105F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105F1">
        <w:rPr>
          <w:rFonts w:ascii="Times New Roman" w:hAnsi="Times New Roman" w:cs="Times New Roman"/>
          <w:color w:val="auto"/>
          <w:sz w:val="28"/>
          <w:szCs w:val="28"/>
        </w:rPr>
        <w:t xml:space="preserve">Изначально при разработке антикоррупционных международных стандартов предполагалось, что они будут приняты в виде актов рекомендательного характера, таких как резолюции, программы, принципы, этические кодексы. Например, в Организации Объединенных Наций в основном разрабатывались акты «мягкого права». В последующем данные акты способствовали выработке юридически обязательных норм в </w:t>
      </w:r>
      <w:r w:rsidRPr="009105F1">
        <w:rPr>
          <w:rFonts w:ascii="Times New Roman" w:hAnsi="Times New Roman" w:cs="Times New Roman"/>
          <w:color w:val="auto"/>
          <w:sz w:val="28"/>
          <w:szCs w:val="28"/>
        </w:rPr>
        <w:lastRenderedPageBreak/>
        <w:t>содержании международных договоров, принимаемых региональными между</w:t>
      </w:r>
      <w:r w:rsidR="00FE2819" w:rsidRPr="009105F1">
        <w:rPr>
          <w:rFonts w:ascii="Times New Roman" w:hAnsi="Times New Roman" w:cs="Times New Roman"/>
          <w:color w:val="auto"/>
          <w:sz w:val="28"/>
          <w:szCs w:val="28"/>
        </w:rPr>
        <w:t>народными организациями</w:t>
      </w:r>
      <w:r w:rsidRPr="009105F1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A56BEB" w:rsidRPr="009105F1" w:rsidRDefault="00A56BEB" w:rsidP="009105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Основные международные антикоррупционные документы:</w:t>
      </w:r>
    </w:p>
    <w:p w:rsidR="00A56BEB" w:rsidRPr="009105F1" w:rsidRDefault="00B330AD" w:rsidP="009105F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tgtFrame="_blank" w:history="1">
        <w:r w:rsidR="00A56BEB" w:rsidRPr="009105F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Конвенция ООН против коррупции</w:t>
        </w:r>
      </w:hyperlink>
      <w:r w:rsidR="00A56BEB" w:rsidRPr="00910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принятая в 2003 г.:</w:t>
      </w:r>
      <w:r w:rsidR="00A56BEB" w:rsidRPr="009105F1">
        <w:rPr>
          <w:rFonts w:ascii="Times New Roman" w:eastAsia="Times New Roman" w:hAnsi="Times New Roman" w:cs="Times New Roman"/>
          <w:sz w:val="28"/>
          <w:szCs w:val="28"/>
          <w:lang w:eastAsia="ru-RU"/>
        </w:rPr>
        <w:t> универсальный документ, охватывающий превентивные меры, криминализацию, международное сотрудничество и возвращение активов.</w:t>
      </w:r>
    </w:p>
    <w:p w:rsidR="00A56BEB" w:rsidRPr="009105F1" w:rsidRDefault="00A56BEB" w:rsidP="009105F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Конвенция Совета Европы об уголовной ответственности за коррупцию (1999 г.):</w:t>
      </w:r>
      <w:r w:rsidRPr="009105F1">
        <w:rPr>
          <w:rFonts w:ascii="Times New Roman" w:eastAsia="Times New Roman" w:hAnsi="Times New Roman" w:cs="Times New Roman"/>
          <w:sz w:val="28"/>
          <w:szCs w:val="28"/>
          <w:lang w:eastAsia="ru-RU"/>
        </w:rPr>
        <w:t> устанавливает обязательства по криминализации различных видов подкупа (активного, пассивного, в частном секторе).</w:t>
      </w:r>
    </w:p>
    <w:p w:rsidR="00A56BEB" w:rsidRPr="009105F1" w:rsidRDefault="00A56BEB" w:rsidP="009105F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Конвенция Совета Европы о гражданско-правовой ответственности за коррупцию (1999 г.):</w:t>
      </w:r>
      <w:r w:rsidRPr="009105F1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регулирует возмещение ущерба, полученного в результате коррупции.</w:t>
      </w:r>
    </w:p>
    <w:p w:rsidR="00A56BEB" w:rsidRPr="009105F1" w:rsidRDefault="00A56BEB" w:rsidP="009105F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Конвенция ОЭСР по борьбе с подкупом иностранных должностных лиц при осуществлении международных коммерческих сделок:</w:t>
      </w:r>
      <w:r w:rsidRPr="009105F1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направлена на пресечение взяточничества в трансграничном бизнесе. </w:t>
      </w:r>
    </w:p>
    <w:p w:rsidR="00FE2819" w:rsidRPr="009105F1" w:rsidRDefault="00FE2819" w:rsidP="009105F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105F1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006F0F" w:rsidRPr="009105F1">
        <w:rPr>
          <w:rFonts w:ascii="Times New Roman" w:hAnsi="Times New Roman" w:cs="Times New Roman"/>
          <w:color w:val="auto"/>
          <w:sz w:val="28"/>
          <w:szCs w:val="28"/>
        </w:rPr>
        <w:t xml:space="preserve">нтикоррупционные </w:t>
      </w:r>
      <w:r w:rsidRPr="009105F1">
        <w:rPr>
          <w:rFonts w:ascii="Times New Roman" w:hAnsi="Times New Roman" w:cs="Times New Roman"/>
          <w:color w:val="auto"/>
          <w:sz w:val="28"/>
          <w:szCs w:val="28"/>
        </w:rPr>
        <w:t>международно-правовые стандарты можно классифицировать</w:t>
      </w:r>
      <w:r w:rsidR="00006F0F" w:rsidRPr="009105F1">
        <w:rPr>
          <w:rFonts w:ascii="Times New Roman" w:hAnsi="Times New Roman" w:cs="Times New Roman"/>
          <w:color w:val="auto"/>
          <w:sz w:val="28"/>
          <w:szCs w:val="28"/>
        </w:rPr>
        <w:t xml:space="preserve"> на: </w:t>
      </w:r>
    </w:p>
    <w:p w:rsidR="00FE2819" w:rsidRPr="009105F1" w:rsidRDefault="00006F0F" w:rsidP="009105F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105F1">
        <w:rPr>
          <w:rFonts w:ascii="Times New Roman" w:hAnsi="Times New Roman" w:cs="Times New Roman"/>
          <w:color w:val="auto"/>
          <w:sz w:val="28"/>
          <w:szCs w:val="28"/>
        </w:rPr>
        <w:t xml:space="preserve">1) имеющие различную юридическую силу – рекомендательные («мягкое право») или обязательные, </w:t>
      </w:r>
    </w:p>
    <w:p w:rsidR="00FE2819" w:rsidRPr="009105F1" w:rsidRDefault="00006F0F" w:rsidP="009105F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105F1">
        <w:rPr>
          <w:rFonts w:ascii="Times New Roman" w:hAnsi="Times New Roman" w:cs="Times New Roman"/>
          <w:color w:val="auto"/>
          <w:sz w:val="28"/>
          <w:szCs w:val="28"/>
        </w:rPr>
        <w:t xml:space="preserve">2) по уровням (универсальные или региональные); </w:t>
      </w:r>
    </w:p>
    <w:p w:rsidR="00FE2819" w:rsidRPr="009105F1" w:rsidRDefault="00006F0F" w:rsidP="009105F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105F1">
        <w:rPr>
          <w:rFonts w:ascii="Times New Roman" w:hAnsi="Times New Roman" w:cs="Times New Roman"/>
          <w:color w:val="auto"/>
          <w:sz w:val="28"/>
          <w:szCs w:val="28"/>
        </w:rPr>
        <w:t xml:space="preserve">3) затрагивающие различные аспекты противодействия коррупции (глобальные или отраслевые) и др. </w:t>
      </w:r>
    </w:p>
    <w:p w:rsidR="00006F0F" w:rsidRPr="009105F1" w:rsidRDefault="00006F0F" w:rsidP="009105F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105F1">
        <w:rPr>
          <w:rFonts w:ascii="Times New Roman" w:hAnsi="Times New Roman" w:cs="Times New Roman"/>
          <w:color w:val="auto"/>
          <w:sz w:val="28"/>
          <w:szCs w:val="28"/>
        </w:rPr>
        <w:t xml:space="preserve">Основные антикоррупционные международно-правовые стандарты определены рядом конвенций, принятых Организацией Объединенных Наций, Советом Европы, Европейским Союзом, а также конвенциями, принятыми Организацией американских государств, Организацией экономического сотрудничества и развития, главами государств и правительств Африканского союза и другие. </w:t>
      </w:r>
    </w:p>
    <w:p w:rsidR="00364481" w:rsidRPr="009105F1" w:rsidRDefault="00364481" w:rsidP="009105F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105F1">
        <w:rPr>
          <w:rFonts w:ascii="Times New Roman" w:hAnsi="Times New Roman" w:cs="Times New Roman"/>
          <w:color w:val="auto"/>
          <w:sz w:val="28"/>
          <w:szCs w:val="28"/>
        </w:rPr>
        <w:t>Что касается Российской Федерации, то часть антикоррупционных конвенций уже ратифицированы Российской Федерацией и требуют продолжения процесса имплементации в национальное законодательство. Положения остальных конвенций следует учитывать как полезные рекомендации, которые направлены на улучшение эффективности нашего антикоррупционного законодатель</w:t>
      </w:r>
      <w:r w:rsidR="00A56BEB" w:rsidRPr="009105F1">
        <w:rPr>
          <w:rFonts w:ascii="Times New Roman" w:hAnsi="Times New Roman" w:cs="Times New Roman"/>
          <w:color w:val="auto"/>
          <w:sz w:val="28"/>
          <w:szCs w:val="28"/>
        </w:rPr>
        <w:t>ства. Реализация антикоррупцион</w:t>
      </w:r>
      <w:r w:rsidRPr="009105F1">
        <w:rPr>
          <w:rFonts w:ascii="Times New Roman" w:hAnsi="Times New Roman" w:cs="Times New Roman"/>
          <w:color w:val="auto"/>
          <w:sz w:val="28"/>
          <w:szCs w:val="28"/>
        </w:rPr>
        <w:t xml:space="preserve">ных международных стандартов в нашей стране производится с учетом федеративного устройства государства путем разработки и принятия федеральных, региональных нормативно-правовых актов и муниципальных нормативных правовых актов. </w:t>
      </w:r>
    </w:p>
    <w:p w:rsidR="00364481" w:rsidRPr="009105F1" w:rsidRDefault="00364481" w:rsidP="009105F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105F1">
        <w:rPr>
          <w:rFonts w:ascii="Times New Roman" w:hAnsi="Times New Roman" w:cs="Times New Roman"/>
          <w:color w:val="auto"/>
          <w:sz w:val="28"/>
          <w:szCs w:val="28"/>
        </w:rPr>
        <w:t>В соответствии с п. «т» ст. 71 Конституции РФ, антикоррупционная деятельность является пре</w:t>
      </w:r>
      <w:r w:rsidR="00A56BEB" w:rsidRPr="009105F1">
        <w:rPr>
          <w:rFonts w:ascii="Times New Roman" w:hAnsi="Times New Roman" w:cs="Times New Roman"/>
          <w:color w:val="auto"/>
          <w:sz w:val="28"/>
          <w:szCs w:val="28"/>
        </w:rPr>
        <w:t>дметом совместного ведения феде</w:t>
      </w:r>
      <w:r w:rsidRPr="009105F1">
        <w:rPr>
          <w:rFonts w:ascii="Times New Roman" w:hAnsi="Times New Roman" w:cs="Times New Roman"/>
          <w:color w:val="auto"/>
          <w:sz w:val="28"/>
          <w:szCs w:val="28"/>
        </w:rPr>
        <w:t>ральных властей нашего г</w:t>
      </w:r>
      <w:r w:rsidR="00A56BEB" w:rsidRPr="009105F1">
        <w:rPr>
          <w:rFonts w:ascii="Times New Roman" w:hAnsi="Times New Roman" w:cs="Times New Roman"/>
          <w:color w:val="auto"/>
          <w:sz w:val="28"/>
          <w:szCs w:val="28"/>
        </w:rPr>
        <w:t>осударства и ее субъектов РФ</w:t>
      </w:r>
      <w:r w:rsidRPr="009105F1">
        <w:rPr>
          <w:rFonts w:ascii="Times New Roman" w:hAnsi="Times New Roman" w:cs="Times New Roman"/>
          <w:color w:val="auto"/>
          <w:sz w:val="28"/>
          <w:szCs w:val="28"/>
        </w:rPr>
        <w:t xml:space="preserve">. Тем самым, Основной закон закрепляет, что регионы также вовлечены в борьбу с негативным явлением коррупции. </w:t>
      </w:r>
    </w:p>
    <w:p w:rsidR="00364481" w:rsidRPr="009105F1" w:rsidRDefault="00364481" w:rsidP="009105F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105F1">
        <w:rPr>
          <w:rFonts w:ascii="Times New Roman" w:hAnsi="Times New Roman" w:cs="Times New Roman"/>
          <w:color w:val="auto"/>
          <w:sz w:val="28"/>
          <w:szCs w:val="28"/>
        </w:rPr>
        <w:lastRenderedPageBreak/>
        <w:t>Однако следует отметить, что субъекты РФ скорее играют вспомогательную роль по борьбе с коррупцией, нежели основную. Несмотря на то, что российские регионы могут принимать различные законы, определяющие методы борьбы с коррупцией, федеральный законодатель жестко ограничивает законодательную инициативу в этом направлении. Например, субъекты России не могут принимать законы, определяющие коррупционные преступления и иные правонарушения, поскольку эту прерогативу федеральный законодатель оставил за собой. Определение региональными властями полномочий региональных служащих также жестко ограничено, что нашло отраже</w:t>
      </w:r>
      <w:r w:rsidR="00A56BEB" w:rsidRPr="009105F1">
        <w:rPr>
          <w:rFonts w:ascii="Times New Roman" w:hAnsi="Times New Roman" w:cs="Times New Roman"/>
          <w:color w:val="auto"/>
          <w:sz w:val="28"/>
          <w:szCs w:val="28"/>
        </w:rPr>
        <w:t>ние в Федеральном законе «Об об</w:t>
      </w:r>
      <w:r w:rsidRPr="009105F1">
        <w:rPr>
          <w:rFonts w:ascii="Times New Roman" w:hAnsi="Times New Roman" w:cs="Times New Roman"/>
          <w:color w:val="auto"/>
          <w:sz w:val="28"/>
          <w:szCs w:val="28"/>
        </w:rPr>
        <w:t>щих принципах организации публичной власти в суб</w:t>
      </w:r>
      <w:r w:rsidR="00A56BEB" w:rsidRPr="009105F1">
        <w:rPr>
          <w:rFonts w:ascii="Times New Roman" w:hAnsi="Times New Roman" w:cs="Times New Roman"/>
          <w:color w:val="auto"/>
          <w:sz w:val="28"/>
          <w:szCs w:val="28"/>
        </w:rPr>
        <w:t>ъектах Российской Федерации»</w:t>
      </w:r>
      <w:r w:rsidRPr="009105F1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8F2740" w:rsidRPr="009105F1" w:rsidRDefault="008F2740" w:rsidP="009105F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105F1" w:rsidRPr="009105F1" w:rsidRDefault="009105F1" w:rsidP="009105F1">
      <w:pPr>
        <w:pStyle w:val="a6"/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105F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Участие России в международном антикоррупционном сотрудничестве</w:t>
      </w:r>
    </w:p>
    <w:p w:rsidR="009105F1" w:rsidRPr="009105F1" w:rsidRDefault="009105F1" w:rsidP="009105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105F1">
        <w:rPr>
          <w:sz w:val="28"/>
          <w:szCs w:val="28"/>
        </w:rPr>
        <w:t>Российская Федерация последовательно выступает за укрепление сотрудничества государств в борьбе с коррупцией при центральной координирующей роли Организации Объединенных Наций и на основе Конвенции ООН против коррупции (КПК). Россия </w:t>
      </w:r>
      <w:hyperlink r:id="rId8" w:tgtFrame="_blank" w:history="1">
        <w:r w:rsidRPr="009105F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успешно прошла</w:t>
        </w:r>
      </w:hyperlink>
      <w:r w:rsidRPr="009105F1">
        <w:rPr>
          <w:sz w:val="28"/>
          <w:szCs w:val="28"/>
        </w:rPr>
        <w:t> первый и второй циклы обзора хода осуществления Конвенции, охватывающие проблематику предупреждения коррупции, криминализации коррупционных деяний, международного сотрудничества и возвращения активов. Оказываем последовательную поддержку бесперебойному функционированию Механизма обзора как через регулярные добровольные взносы, так и посредством организации совместно с Управлением ООН по наркотикам и преступности (УНП) обучающих мероприятий для специалистов, задействованных в оценочных процедурах, из разных стран. Последний тренинг состоялся в Москве в октябре 2024 г. с участием сотрудников компетентных органов порядка 30 государств.</w:t>
      </w:r>
    </w:p>
    <w:p w:rsidR="009105F1" w:rsidRPr="009105F1" w:rsidRDefault="009105F1" w:rsidP="009105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105F1">
        <w:rPr>
          <w:sz w:val="28"/>
          <w:szCs w:val="28"/>
        </w:rPr>
        <w:t>Россия последовательно работает над реализацией </w:t>
      </w:r>
      <w:hyperlink r:id="rId9" w:tgtFrame="_blank" w:history="1">
        <w:r w:rsidRPr="009105F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политической декларации</w:t>
        </w:r>
      </w:hyperlink>
      <w:r w:rsidRPr="009105F1">
        <w:rPr>
          <w:sz w:val="28"/>
          <w:szCs w:val="28"/>
        </w:rPr>
        <w:t> специальной сессии Генеральной Ассамблеи ООН против коррупции (Нью-Йорк, 2-4 июня 2021 г.). В документе учтены наши подходы по таким приоритетным темам, как укрепление международно-правового режима возвращения активов и сотрудничества по гражданско-правовым и административным делам, использование современных технологий для выявления коррупционных правонарушений, антикоррупционное образование и просвещение. По инициативе России в декларацию включено положение о необходимости защиты спорта от коррупции посредством координации усилий государств на всеобъемлющей и беспристрастной основе, прежде всего, в рамках ООН, при особом внимании к детско-юношескому спорту.</w:t>
      </w:r>
    </w:p>
    <w:p w:rsidR="009105F1" w:rsidRPr="009105F1" w:rsidRDefault="009105F1" w:rsidP="009105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105F1">
        <w:rPr>
          <w:sz w:val="28"/>
          <w:szCs w:val="28"/>
        </w:rPr>
        <w:t xml:space="preserve">Россия вошла в число соавторов ряда резолюций 11-й сессии Конференции государств-участников Конвенции (Доха, 15-19 декабря 2025 г.), включая наиболее значимую из них – о втором этапе Механизма </w:t>
      </w:r>
      <w:r w:rsidRPr="009105F1">
        <w:rPr>
          <w:sz w:val="28"/>
          <w:szCs w:val="28"/>
        </w:rPr>
        <w:lastRenderedPageBreak/>
        <w:t>обзора осуществления Конвенции. По случаю 20-летия вступления КПК в силу и перехода ко второму этапу Механизма обзора договора Россия также от имени ряда дружественных стран выступила с </w:t>
      </w:r>
      <w:hyperlink r:id="rId10" w:tgtFrame="_blank" w:history="1">
        <w:r w:rsidRPr="009105F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заявлением</w:t>
        </w:r>
      </w:hyperlink>
      <w:r w:rsidRPr="009105F1">
        <w:rPr>
          <w:sz w:val="28"/>
          <w:szCs w:val="28"/>
        </w:rPr>
        <w:t>, в котором выражена приверженность нерушимости руководящих принципов обзорных процедур, общее видение перспектив развития сотрудничества в сфере борьбы с коррупцией.</w:t>
      </w:r>
    </w:p>
    <w:p w:rsidR="009105F1" w:rsidRPr="009105F1" w:rsidRDefault="009105F1" w:rsidP="009105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105F1">
        <w:rPr>
          <w:sz w:val="28"/>
          <w:szCs w:val="28"/>
        </w:rPr>
        <w:t>Большое внимание экспертного сообщества привлекли организованные российскими компетентными ведомствами специальные мероприятия «на полях» сессии - дискуссия «Международное сотрудничество: использование информационных технологий и правового поля СНГ» и выставка молодежной социальной рекламы «Вместе против коррупции!». Россия также приняла участие в специальном мероприятии БРИКС «Стимулирование частного сектора к противодействию коррупции: взгляд БРИКС и опыт Глобального Юга».</w:t>
      </w:r>
    </w:p>
    <w:p w:rsidR="009105F1" w:rsidRPr="009105F1" w:rsidRDefault="009105F1" w:rsidP="009105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105F1">
        <w:rPr>
          <w:sz w:val="28"/>
          <w:szCs w:val="28"/>
        </w:rPr>
        <w:t>В рамках Антикоррупционной рабочей группы (АКГ) БРИКС Россия продолжает последовательную реализацию практических проектов, согласованных с партнерами в ходе председательства нашей страны в объединении в 2024 г., во исполнение принятого по российской инициативе документа </w:t>
      </w:r>
      <w:hyperlink r:id="rId11" w:tgtFrame="_blank" w:history="1">
        <w:r w:rsidRPr="009105F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«Сотрудничество БРИКС в области антикоррупционного образования, обмена знаниями и наращивании потенциала: достижения и дальнейшие шаги»</w:t>
        </w:r>
      </w:hyperlink>
      <w:r w:rsidRPr="009105F1">
        <w:rPr>
          <w:sz w:val="28"/>
          <w:szCs w:val="28"/>
        </w:rPr>
        <w:t>. УНП при содействии АКГ подготовлена публикация </w:t>
      </w:r>
      <w:hyperlink r:id="rId12" w:tgtFrame="_blank" w:history="1">
        <w:r w:rsidRPr="009105F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«Защита спорта от коррупции: фокус на странах БРИКС»</w:t>
        </w:r>
      </w:hyperlink>
      <w:r w:rsidRPr="009105F1">
        <w:rPr>
          <w:sz w:val="28"/>
          <w:szCs w:val="28"/>
        </w:rPr>
        <w:t> в рамках реализации внесенной Россией тематической </w:t>
      </w:r>
      <w:hyperlink r:id="rId13" w:tgtFrame="_blank" w:history="1">
        <w:r w:rsidRPr="009105F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резолюции 8/4</w:t>
        </w:r>
      </w:hyperlink>
      <w:r w:rsidRPr="009105F1">
        <w:rPr>
          <w:sz w:val="28"/>
          <w:szCs w:val="28"/>
        </w:rPr>
        <w:t> Конференции государств-участников КПК и в развитие одноименного мероприятия БРИКС, состоявшегося на венской площадке ООН в августе 2024 г. В докладе, в частности, отмечается недопустимость дискриминации в спорте, политизации спорта, его использования в качестве инструмента давления.</w:t>
      </w:r>
    </w:p>
    <w:p w:rsidR="009105F1" w:rsidRPr="009105F1" w:rsidRDefault="009105F1" w:rsidP="009105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105F1">
        <w:rPr>
          <w:sz w:val="28"/>
          <w:szCs w:val="28"/>
        </w:rPr>
        <w:t>Россия поддержала антикоррупционные приоритеты бразильского председательства в БРИКС – повышение эффективности возвращения активов, использование искусственного интеллекта в борьбе с коррупцией, взаимосвязь противодействия коррупции и обеспечения устойчивого роста. Данные вопросы обсуждались в ходе заседания АКГ в Бразилиа 5-6 мая 2025 г. В ходе дискуссии, среди прочего, были подтверждены подходы, изложенные в документе 2024 г. </w:t>
      </w:r>
      <w:hyperlink r:id="rId14" w:tgtFrame="_blank" w:history="1">
        <w:r w:rsidRPr="009105F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«Укрепление международного сотрудничества в борьбе с коррупцией и возвращении и репатриации активов и доходов от коррупции: общее видение и совместные действия БРИКС»</w:t>
        </w:r>
      </w:hyperlink>
      <w:r w:rsidRPr="009105F1">
        <w:rPr>
          <w:sz w:val="28"/>
          <w:szCs w:val="28"/>
        </w:rPr>
        <w:t>. Рассматривается возможность продолжения серьезной экспертной деятельности в АКГ, включая обновление подготовленной в период российского председательства </w:t>
      </w:r>
      <w:hyperlink r:id="rId15" w:tgtFrame="_blank" w:history="1">
        <w:r w:rsidRPr="009105F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Аналитической записки о возвращении активов в странах БРИКС</w:t>
        </w:r>
      </w:hyperlink>
      <w:r w:rsidRPr="009105F1">
        <w:rPr>
          <w:sz w:val="28"/>
          <w:szCs w:val="28"/>
        </w:rPr>
        <w:t>.</w:t>
      </w:r>
    </w:p>
    <w:p w:rsidR="009105F1" w:rsidRPr="009105F1" w:rsidRDefault="009105F1" w:rsidP="009105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105F1">
        <w:rPr>
          <w:sz w:val="28"/>
          <w:szCs w:val="28"/>
        </w:rPr>
        <w:t>Большое значение придается обеспечению российского участия в Антикоррупционной рабочей группе «двадцатки». Данный формат руководствуется текущим </w:t>
      </w:r>
      <w:hyperlink r:id="rId16" w:tgtFrame="_blank" w:history="1">
        <w:r w:rsidRPr="009105F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Планом действий на 2025-2027 гг.</w:t>
        </w:r>
      </w:hyperlink>
      <w:r w:rsidRPr="009105F1">
        <w:rPr>
          <w:sz w:val="28"/>
          <w:szCs w:val="28"/>
        </w:rPr>
        <w:t xml:space="preserve"> В документе большое внимание уделяется значимой для развивающихся государств </w:t>
      </w:r>
      <w:r w:rsidRPr="009105F1">
        <w:rPr>
          <w:sz w:val="28"/>
          <w:szCs w:val="28"/>
        </w:rPr>
        <w:lastRenderedPageBreak/>
        <w:t>тематике возвращения активов и повышения эффективности международного антикоррупционного сотрудничества. Российская делегация в «двадцатке» регулярно привлекает внимание партнеров к проблеме растущего числа отказов в предоставлении правовой помощи и осуществлении экстрадиции преступников по политическим мотивам. В результате добились формального признания в ряде документов «двадцатки» того, что международное взаимодействие в этой области должно быть свободным от ненадлежащего политического влияния.</w:t>
      </w:r>
    </w:p>
    <w:p w:rsidR="009105F1" w:rsidRPr="009105F1" w:rsidRDefault="009105F1" w:rsidP="009105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105F1">
        <w:rPr>
          <w:sz w:val="28"/>
          <w:szCs w:val="28"/>
        </w:rPr>
        <w:t>В 2025 г. принят ряд документов, отвечающих приоритетам южноафриканского председательства в «Группе двадцати», включая </w:t>
      </w:r>
      <w:hyperlink r:id="rId17" w:tgtFrame="_blank" w:history="1">
        <w:r w:rsidRPr="009105F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Принципы высокого уровня по управлению связанными с коррупцией арестованными и конфискованными активами</w:t>
        </w:r>
      </w:hyperlink>
      <w:r w:rsidRPr="009105F1">
        <w:rPr>
          <w:sz w:val="28"/>
          <w:szCs w:val="28"/>
        </w:rPr>
        <w:t>, сборники передовой практики по </w:t>
      </w:r>
      <w:hyperlink r:id="rId18" w:tgtFrame="_blank" w:history="1">
        <w:r w:rsidRPr="009105F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обеспечению прозрачности, этичности и подотчетности гражданской службы</w:t>
        </w:r>
      </w:hyperlink>
      <w:r w:rsidRPr="009105F1">
        <w:rPr>
          <w:sz w:val="28"/>
          <w:szCs w:val="28"/>
        </w:rPr>
        <w:t> и </w:t>
      </w:r>
      <w:hyperlink r:id="rId19" w:tgtFrame="_blank" w:history="1">
        <w:r w:rsidRPr="009105F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участию заинтересованных сторон в предупреждении и противодействии коррупции</w:t>
        </w:r>
      </w:hyperlink>
      <w:r w:rsidRPr="009105F1">
        <w:rPr>
          <w:sz w:val="28"/>
          <w:szCs w:val="28"/>
        </w:rPr>
        <w:t>, </w:t>
      </w:r>
      <w:hyperlink r:id="rId20" w:tgtFrame="_blank" w:history="1">
        <w:r w:rsidRPr="009105F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доклад о роли технической помощи в наращивании потенциала и обмене знаниями в области возвращения активов</w:t>
        </w:r>
      </w:hyperlink>
      <w:r w:rsidRPr="009105F1">
        <w:rPr>
          <w:sz w:val="28"/>
          <w:szCs w:val="28"/>
        </w:rPr>
        <w:t>, а также </w:t>
      </w:r>
      <w:hyperlink r:id="rId21" w:tgtFrame="_blank" w:history="1">
        <w:r w:rsidRPr="009105F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отчет о прогрессе стран «двадцатки» в укреплении мер по защите заявителей о коррупции</w:t>
        </w:r>
      </w:hyperlink>
      <w:r w:rsidRPr="009105F1">
        <w:rPr>
          <w:sz w:val="28"/>
          <w:szCs w:val="28"/>
        </w:rPr>
        <w:t>. По итогам антикоррупционной «министерской» встречи «двадцатки» (</w:t>
      </w:r>
      <w:proofErr w:type="spellStart"/>
      <w:r w:rsidRPr="009105F1">
        <w:rPr>
          <w:sz w:val="28"/>
          <w:szCs w:val="28"/>
        </w:rPr>
        <w:t>Скукуза</w:t>
      </w:r>
      <w:proofErr w:type="spellEnd"/>
      <w:r w:rsidRPr="009105F1">
        <w:rPr>
          <w:sz w:val="28"/>
          <w:szCs w:val="28"/>
        </w:rPr>
        <w:t>, 30 октября 2025 г.) принято </w:t>
      </w:r>
      <w:hyperlink r:id="rId22" w:tgtFrame="_blank" w:history="1">
        <w:r w:rsidRPr="009105F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заявление председателя</w:t>
        </w:r>
      </w:hyperlink>
      <w:r w:rsidRPr="009105F1">
        <w:rPr>
          <w:sz w:val="28"/>
          <w:szCs w:val="28"/>
        </w:rPr>
        <w:t>, резюмирующее результаты деятельности антикоррупционного трека за прошедший год.</w:t>
      </w:r>
    </w:p>
    <w:p w:rsidR="009105F1" w:rsidRPr="009105F1" w:rsidRDefault="009105F1" w:rsidP="009105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105F1">
        <w:rPr>
          <w:sz w:val="28"/>
          <w:szCs w:val="28"/>
        </w:rPr>
        <w:t>Российская Федерация состоит в Рабочей группе АТЭС по борьбе с коррупцией и обеспечению транспарентности, отечественные компетентные ведомства - в Сети антикоррупционных и правоохранительных органов АТЭС. Российские специалисты приняли участие в организованном впервые по инициативе южнокорейского председательства диалоге высокого уровня АТЭС по развитию антикоррупционного сотрудничества (Инчхон, 31 июля – 1 августа 2025 г.).</w:t>
      </w:r>
    </w:p>
    <w:p w:rsidR="009105F1" w:rsidRPr="009105F1" w:rsidRDefault="009105F1" w:rsidP="009105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105F1">
        <w:rPr>
          <w:sz w:val="28"/>
          <w:szCs w:val="28"/>
        </w:rPr>
        <w:t>Отечественные ведомства представлены в ряде специализированных международных форматов, включая Межгосударственный совет СНГ по противодействию коррупции и Глобальную оперативную сеть антикоррупционных правоохранительных органов, имеют большое количество соглашений с иностранными партнерами.</w:t>
      </w:r>
    </w:p>
    <w:p w:rsidR="009105F1" w:rsidRPr="009105F1" w:rsidRDefault="009105F1" w:rsidP="009105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105F1">
        <w:rPr>
          <w:sz w:val="28"/>
          <w:szCs w:val="28"/>
        </w:rPr>
        <w:t>Значительное внимание уделяется антикоррупционному образованию. Россия ведет профильные проекты с УНП и Международной антикоррупционной академией (МАА) также в рамках реализации принятой по инициативе нашей страны в 2021 г. тематической </w:t>
      </w:r>
      <w:hyperlink r:id="rId23" w:tgtFrame="_blank" w:history="1">
        <w:r w:rsidRPr="009105F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резолюции 9/8</w:t>
        </w:r>
      </w:hyperlink>
      <w:r w:rsidRPr="009105F1">
        <w:rPr>
          <w:sz w:val="28"/>
          <w:szCs w:val="28"/>
        </w:rPr>
        <w:t> Конференции сторон КПК. На сайте МАА размещены </w:t>
      </w:r>
      <w:hyperlink r:id="rId24" w:tgtFrame="_blank" w:history="1">
        <w:r w:rsidRPr="009105F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бесплатные онлайн-курсы</w:t>
        </w:r>
      </w:hyperlink>
      <w:r w:rsidRPr="009105F1">
        <w:rPr>
          <w:sz w:val="28"/>
          <w:szCs w:val="28"/>
        </w:rPr>
        <w:t> по различным вопросам противодействия коррупции на русском и английском языках, подготовленные при российской финансовой поддержке с участием отечественных экспертов. Россия выделяет средства УНП на разработку тематических публикаций, таких как «</w:t>
      </w:r>
      <w:hyperlink r:id="rId25" w:tgtFrame="_blank" w:history="1">
        <w:r w:rsidRPr="009105F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Глобальный доклад о коррупции в спорте</w:t>
        </w:r>
      </w:hyperlink>
      <w:r w:rsidRPr="009105F1">
        <w:rPr>
          <w:sz w:val="28"/>
          <w:szCs w:val="28"/>
        </w:rPr>
        <w:t>» и «</w:t>
      </w:r>
      <w:hyperlink r:id="rId26" w:tgtFrame="_blank" w:history="1">
        <w:r w:rsidRPr="009105F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 xml:space="preserve">Гражданско-правовая и административная </w:t>
        </w:r>
        <w:r w:rsidRPr="009105F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lastRenderedPageBreak/>
          <w:t>ответственность за коррупцию</w:t>
        </w:r>
      </w:hyperlink>
      <w:r w:rsidRPr="009105F1">
        <w:rPr>
          <w:sz w:val="28"/>
          <w:szCs w:val="28"/>
        </w:rPr>
        <w:t>», а также на развитие профильных электронных платформ и общедоступных баз данных.</w:t>
      </w:r>
    </w:p>
    <w:p w:rsidR="008F2740" w:rsidRPr="009105F1" w:rsidRDefault="008F2740" w:rsidP="009105F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F2740" w:rsidRDefault="008F2740" w:rsidP="009105F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F2740" w:rsidRPr="009105F1" w:rsidRDefault="006B08C9" w:rsidP="009105F1">
      <w:pPr>
        <w:pStyle w:val="Default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105F1">
        <w:rPr>
          <w:rFonts w:ascii="Times New Roman" w:hAnsi="Times New Roman" w:cs="Times New Roman"/>
          <w:color w:val="auto"/>
          <w:sz w:val="28"/>
          <w:szCs w:val="28"/>
        </w:rPr>
        <w:t>Применение цифровых технологий в противодействии коррупции: международный опыт</w:t>
      </w:r>
    </w:p>
    <w:p w:rsidR="00A73BA1" w:rsidRPr="009105F1" w:rsidRDefault="00A73BA1" w:rsidP="00910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5F1">
        <w:rPr>
          <w:rFonts w:ascii="Times New Roman" w:hAnsi="Times New Roman" w:cs="Times New Roman"/>
          <w:sz w:val="28"/>
          <w:szCs w:val="28"/>
        </w:rPr>
        <w:t>Активное внедрение интернета и IT-технологий во все сферы человеческой жизни и промышленности, характеризуемое как четвертая волна промышленной революции</w:t>
      </w:r>
      <w:r w:rsidR="009105F1" w:rsidRPr="009105F1">
        <w:rPr>
          <w:rFonts w:ascii="Times New Roman" w:hAnsi="Times New Roman" w:cs="Times New Roman"/>
          <w:sz w:val="28"/>
          <w:szCs w:val="28"/>
        </w:rPr>
        <w:t>,</w:t>
      </w:r>
      <w:r w:rsidRPr="009105F1">
        <w:rPr>
          <w:rFonts w:ascii="Times New Roman" w:hAnsi="Times New Roman" w:cs="Times New Roman"/>
          <w:sz w:val="28"/>
          <w:szCs w:val="28"/>
        </w:rPr>
        <w:t xml:space="preserve"> открыло доступ к огромным объемам данных об обществе, экономике и окружающей среде. Развитие информационных технологий и инструментов обработки больших объемов информации привело к широкому использованию возможностей этих технологий </w:t>
      </w:r>
      <w:r w:rsidR="009105F1" w:rsidRPr="009105F1">
        <w:rPr>
          <w:rFonts w:ascii="Times New Roman" w:hAnsi="Times New Roman" w:cs="Times New Roman"/>
          <w:sz w:val="28"/>
          <w:szCs w:val="28"/>
        </w:rPr>
        <w:t>для решения</w:t>
      </w:r>
      <w:r w:rsidRPr="009105F1">
        <w:rPr>
          <w:rFonts w:ascii="Times New Roman" w:hAnsi="Times New Roman" w:cs="Times New Roman"/>
          <w:sz w:val="28"/>
          <w:szCs w:val="28"/>
        </w:rPr>
        <w:t xml:space="preserve"> ключевых проблем государства, включая вопросы противодействия коррупции. </w:t>
      </w:r>
    </w:p>
    <w:p w:rsidR="00A73BA1" w:rsidRPr="009105F1" w:rsidRDefault="00A73BA1" w:rsidP="00910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5F1">
        <w:rPr>
          <w:rFonts w:ascii="Times New Roman" w:hAnsi="Times New Roman" w:cs="Times New Roman"/>
          <w:sz w:val="28"/>
          <w:szCs w:val="28"/>
        </w:rPr>
        <w:t xml:space="preserve">Цифровизация системы государственного управления представляет собой существенный фактор в борьбе с коррупцией. С развитием современных технологий возможно улучшить антикоррупционную политику путем обеспечения прозрачности и открытости управленческих процессов, улучшения доверия к власти, повышения честности и неподкупности в государственном секторе, а также обеспечения подотчетности путем укрепления верховенства права на основе активного участия и вовлечения граждан. </w:t>
      </w:r>
    </w:p>
    <w:p w:rsidR="00A73BA1" w:rsidRPr="009105F1" w:rsidRDefault="00A73BA1" w:rsidP="00910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5F1">
        <w:rPr>
          <w:rFonts w:ascii="Times New Roman" w:hAnsi="Times New Roman" w:cs="Times New Roman"/>
          <w:sz w:val="28"/>
          <w:szCs w:val="28"/>
        </w:rPr>
        <w:t xml:space="preserve">Одним из способов использования цифровых технологий для борьбы с коррупцией является создание электронных платформ для отслеживания и контроля за финансовыми потоками. Благодаря цифровым системам учета и мониторинга, можно эффективно отслеживать перемещения средств, идентифицировать потенциальные финансовые махинации и предотвращать незаконные действия. Кроме того, цифровые технологии могут быть использованы для улучшения прозрачности в государственных закупках. Электронные системы тендеров позволяют автоматизировать процесс проведения закупок, уменьшая вероятность коррупционных схем и обеспечивая более справедливое распределение государственных средств. Также, использование цифровых инструментов, таких как онлайн-жалобы и отчеты, способствует увеличению </w:t>
      </w:r>
      <w:r w:rsidR="009105F1" w:rsidRPr="009105F1">
        <w:rPr>
          <w:rFonts w:ascii="Times New Roman" w:hAnsi="Times New Roman" w:cs="Times New Roman"/>
          <w:sz w:val="28"/>
          <w:szCs w:val="28"/>
        </w:rPr>
        <w:t>доступности механизмов</w:t>
      </w:r>
      <w:r w:rsidRPr="009105F1">
        <w:rPr>
          <w:rFonts w:ascii="Times New Roman" w:hAnsi="Times New Roman" w:cs="Times New Roman"/>
          <w:sz w:val="28"/>
          <w:szCs w:val="28"/>
        </w:rPr>
        <w:t xml:space="preserve"> обратной связи между гражданами и государственными органами. Это позволяет быстро реагировать на нарушения и коррупционные проявления, обеспечивая более открытый и демократичный механизм контроля за государственной властью. Таким образом, цифровые технологии представляют собой мощный инструмент в борьбе с коррупцией, способствуя улучшению прозрачности, эффективности и открытости в управлении государственными ресурсами. Этот подход может помочь создать более справедливое и доверительное общество, где правила игры являются честными и доступными для всех граждан. </w:t>
      </w:r>
    </w:p>
    <w:p w:rsidR="00A73BA1" w:rsidRPr="009105F1" w:rsidRDefault="00A73BA1" w:rsidP="00910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05F1">
        <w:rPr>
          <w:rFonts w:ascii="Times New Roman" w:hAnsi="Times New Roman" w:cs="Times New Roman"/>
          <w:sz w:val="28"/>
          <w:szCs w:val="28"/>
        </w:rPr>
        <w:lastRenderedPageBreak/>
        <w:t>Big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Data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(Большие данные).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Big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Data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- это концепция, связанная с обработкой и анализом огромных объемов данных с использованием специализированных подходов и инструментов. В современном мире технология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Big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Data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играет ключевую роль в обеспечении прозрачности и эффективности деятельности организаций путем автоматизации и улучшения качества принимаемых решений. Международные организации, нацеленные на борьбу с мошенничеством и коррупцией, активно разрабатывают инновационные программные решения, основанные на технологии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Big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Data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, для выявления и предотвращения противоправных действий. Применение таких инструментов стало важным шагом в повышении прозрачности и уменьшении коррупции в различных сферах деятельности. </w:t>
      </w:r>
    </w:p>
    <w:p w:rsidR="00A73BA1" w:rsidRPr="009105F1" w:rsidRDefault="00A73BA1" w:rsidP="00910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5F1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Big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Data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в государственном управлении имеет стратегическое значение, поскольку он способствует сбору качественных и актуальных данных, что ведет к улучшению принимаемых политических решений и повышению уровня прозрачности и отчетности перед обществом. Примером успешной реализации технологии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Big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Data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является использование австралийским налоговым управлением для выявления фактов мошенничества и нарушений в налогообложении. Анализ огромного объема данных позволяет выявлять подозрительные транзакции и несоответствия в данных, что способствует эффективному контролю в этой области. В целом, технология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Big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Data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открывает новые перспективы для предотвращения коррупции и мошенничества в государственном секторе, обеспечивая аналитикам и управленцам возможность оперативно реагировать на нарушения и принимать меры по их предотвращению. </w:t>
      </w:r>
    </w:p>
    <w:p w:rsidR="00A73BA1" w:rsidRPr="009105F1" w:rsidRDefault="00A73BA1" w:rsidP="00910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5F1">
        <w:rPr>
          <w:rFonts w:ascii="Times New Roman" w:hAnsi="Times New Roman" w:cs="Times New Roman"/>
          <w:sz w:val="28"/>
          <w:szCs w:val="28"/>
        </w:rPr>
        <w:t xml:space="preserve">Взаимодействие между странами и разработкой новых методов обмена данными, таких как Всемирное статистическое облако, способствует улучшению качества информации и повышению эффективности анализа данных на мировом уровне.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Data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Mining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(Интеллектуальный анализ данных). Использование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Data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Mining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в области электронного управления и государственных закупок значительно повышает эффективность принятия решений. Эти инструменты не только способствуют оптимизации и упрощению процессов, но и увеличивают уровень прозрачности. Применение подобных программных решений обеспечивает лучшую видимость и контроль над проектами, что способствует снижению уровня коррупции и повышению доверия к правительственным структурам. Интеграция интеллектуальных инструментов анализа данных в государственное управление становится важным шагом на пути к улучшению управленческих процессов, что способствует созданию более прозрачной и ответственной системы, способной своевременно выявлять и устранять коррупционные риски.</w:t>
      </w:r>
    </w:p>
    <w:p w:rsidR="00A73BA1" w:rsidRPr="009105F1" w:rsidRDefault="00A73BA1" w:rsidP="00910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Mobile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Applications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(М обильные приложения). </w:t>
      </w:r>
    </w:p>
    <w:p w:rsidR="00A73BA1" w:rsidRPr="009105F1" w:rsidRDefault="00A73BA1" w:rsidP="00910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5F1">
        <w:rPr>
          <w:rFonts w:ascii="Times New Roman" w:hAnsi="Times New Roman" w:cs="Times New Roman"/>
          <w:sz w:val="28"/>
          <w:szCs w:val="28"/>
        </w:rPr>
        <w:t xml:space="preserve">Мобильные технологии и приложения используются для сбора данных и получения более глубоких знаний, а также для повышения доступности информации в развивающихся странах». В данном смысле использование таких технологий в борьбе с коррупцией представляется перспективным и </w:t>
      </w:r>
      <w:r w:rsidRPr="009105F1">
        <w:rPr>
          <w:rFonts w:ascii="Times New Roman" w:hAnsi="Times New Roman" w:cs="Times New Roman"/>
          <w:sz w:val="28"/>
          <w:szCs w:val="28"/>
        </w:rPr>
        <w:lastRenderedPageBreak/>
        <w:t xml:space="preserve">эффективным. Например, создание приложений и веб-сайтов для борьбы с коррупцией, таких как приложение «Я заплатил взятку» Всемирного банка, предоставляет гражданам возможность быстро сообщать о коррупционных проявлениях. Приложение «Целостность» разработано с целью обеспечить доступ к информации о проектах, финансируемых Всемирным банком, и предоставить возможность немедленно сообщать о проблемах коррупции. Разработка функций для точного определения местоположения проектов и использование QR-тегов позволяют обеспечить более детальную информацию о расходах и временных рамках реализации проектов. Мобильные телефоны также активно применяются в расследованиях коррупции и мошенничества при финансировании проектов Всемирным банком. Благодаря использованию горячей линии, было выявлено множество случаев коррупции и приняты меры по их пресечению. Это позволяет предотвращать нарушения в контрактах, налаживать контроль за высоко рисковыми проектами и применять санкции к нарушителям. </w:t>
      </w:r>
    </w:p>
    <w:p w:rsidR="00A73BA1" w:rsidRPr="009105F1" w:rsidRDefault="00A73BA1" w:rsidP="00910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05F1">
        <w:rPr>
          <w:rFonts w:ascii="Times New Roman" w:hAnsi="Times New Roman" w:cs="Times New Roman"/>
          <w:sz w:val="28"/>
          <w:szCs w:val="28"/>
        </w:rPr>
        <w:t>Forensic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Tools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(Аналитические инструменты). В государственном и частном секторах широко используются аналитические инструменты для выявления коррупционных рисков. Одним</w:t>
      </w:r>
      <w:r w:rsidRPr="009105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105F1">
        <w:rPr>
          <w:rFonts w:ascii="Times New Roman" w:hAnsi="Times New Roman" w:cs="Times New Roman"/>
          <w:sz w:val="28"/>
          <w:szCs w:val="28"/>
        </w:rPr>
        <w:t>из</w:t>
      </w:r>
      <w:r w:rsidRPr="009105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105F1">
        <w:rPr>
          <w:rFonts w:ascii="Times New Roman" w:hAnsi="Times New Roman" w:cs="Times New Roman"/>
          <w:sz w:val="28"/>
          <w:szCs w:val="28"/>
        </w:rPr>
        <w:t>таких</w:t>
      </w:r>
      <w:r w:rsidRPr="009105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105F1">
        <w:rPr>
          <w:rFonts w:ascii="Times New Roman" w:hAnsi="Times New Roman" w:cs="Times New Roman"/>
          <w:sz w:val="28"/>
          <w:szCs w:val="28"/>
        </w:rPr>
        <w:t>инструментов</w:t>
      </w:r>
      <w:r w:rsidRPr="009105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105F1">
        <w:rPr>
          <w:rFonts w:ascii="Times New Roman" w:hAnsi="Times New Roman" w:cs="Times New Roman"/>
          <w:sz w:val="28"/>
          <w:szCs w:val="28"/>
        </w:rPr>
        <w:t>является</w:t>
      </w:r>
      <w:r w:rsidRPr="009105F1">
        <w:rPr>
          <w:rFonts w:ascii="Times New Roman" w:hAnsi="Times New Roman" w:cs="Times New Roman"/>
          <w:sz w:val="28"/>
          <w:szCs w:val="28"/>
          <w:lang w:val="en-US"/>
        </w:rPr>
        <w:t xml:space="preserve"> Self-Monitoring, Analysis and Reporting Technology (SMART). </w:t>
      </w:r>
      <w:r w:rsidRPr="009105F1">
        <w:rPr>
          <w:rFonts w:ascii="Times New Roman" w:hAnsi="Times New Roman" w:cs="Times New Roman"/>
          <w:sz w:val="28"/>
          <w:szCs w:val="28"/>
        </w:rPr>
        <w:t>Эти передовые технологии значительно совершенствуют обработку данных, позволяя проводить анализ транзакций в режиме реального времени, прогнозировать потенциальные модели поведения и обнаруживать нарушения. Алгоритмы оценки риска, встроенные в такие системы, могут заранее выявлять и предотвращать неправильно сформированные платежи в процессе государственных закупок. Такие технологии становятся все более эффективными благодаря непрерывному развитию и внедрению новых методик анализа данных. Для укрепления внутренних процессов и предотвращения мошеннической практики аналитики данных могут регулярно исследовать транзакции в рамках моделей закупок и платежей, что  позволяет быстро выявлять нарушения и незаконные финансовые потоки. Важным преимуществом таких технологий является автоматизация процессов, что исключает участие человеческого фактора и минимизирует риск ошибок и злоупотреблений. Использование данных аналитических инструментов также обеспечивает удаление правовых субъектов, таких как заключение контрактов с ненадежными поставщиками. Данные системы могут автоматически проверять контрагентов на предмет наличия конфликтов интересов или других нарушений, что способствует созданию более прозрачной и безопасной среды для осуществления закупок. Внедрение подобных технологий позволяет значительно повысить эффективность управления и контроль за финансовыми операциями, снижая вероятность возникновения коррупционных схем и других форм мошенничества.</w:t>
      </w:r>
    </w:p>
    <w:p w:rsidR="00364481" w:rsidRDefault="00A73BA1" w:rsidP="00910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5F1">
        <w:rPr>
          <w:rFonts w:ascii="Times New Roman" w:hAnsi="Times New Roman" w:cs="Times New Roman"/>
          <w:sz w:val="28"/>
          <w:szCs w:val="28"/>
        </w:rPr>
        <w:t xml:space="preserve"> Технологии распределенной книги (DLT) и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блокчейн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Блокчейн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, используемый для смягчения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высокорисковых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сделок, особенно в областях с высоким уровнем коррупционных рисков, представляет собой </w:t>
      </w:r>
      <w:r w:rsidRPr="009105F1">
        <w:rPr>
          <w:rFonts w:ascii="Times New Roman" w:hAnsi="Times New Roman" w:cs="Times New Roman"/>
          <w:sz w:val="28"/>
          <w:szCs w:val="28"/>
        </w:rPr>
        <w:lastRenderedPageBreak/>
        <w:t xml:space="preserve">инновационный подход, основанный на распределенном реестре данных. Эта технология обладает потенциалом усилить контроль и подотчетность в различных областях, таких как регистрация собственности, право собственности на землю и заключение государственных контрактов». Повышение прозрачности и предотвращение мошенничества благодаря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блокчейнтехнологии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 становится особенно актуальным для государственных учреждений и организаций, стремящихся к эффективному и ответственному управлению ресурсами. Применение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блокчейн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-технологии в контексте прозрачности бюджета демонстрирует потенциал этой технологии для повышения эффективности финансового управления. Проект, проводимый немецким Банком Развития в Африке с использованием приложения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TrnBudget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 xml:space="preserve">, позволяет осуществлять более точный мониторинг и анализ расходов, обеспечивая степень прозрачности и контроля, необходимую для эффективного управления бюджетом. Это является лишь одним из многочисленных примеров того, как </w:t>
      </w:r>
      <w:proofErr w:type="spellStart"/>
      <w:r w:rsidRPr="009105F1">
        <w:rPr>
          <w:rFonts w:ascii="Times New Roman" w:hAnsi="Times New Roman" w:cs="Times New Roman"/>
          <w:sz w:val="28"/>
          <w:szCs w:val="28"/>
        </w:rPr>
        <w:t>блокчейн</w:t>
      </w:r>
      <w:proofErr w:type="spellEnd"/>
      <w:r w:rsidRPr="009105F1">
        <w:rPr>
          <w:rFonts w:ascii="Times New Roman" w:hAnsi="Times New Roman" w:cs="Times New Roman"/>
          <w:sz w:val="28"/>
          <w:szCs w:val="28"/>
        </w:rPr>
        <w:t>-технология может быть использована для улучшения управления финансами и обеспечения отчетности в различных секторах и странах. Таким образом, цифровые технологии могут стать мощным инструментом в борьбе с коррупцией, предоставляя новые возможности для анализа данных, повышения прозрачности и участия общества в контроле за властью. Однако внедрение цифровых инноваций в антикоррупционную деятельность требует внимательного рассмотрения вопросов безопасности данных, конфиденциальности информации и обеспечения доступа к новым технологиям для всех слоев общества</w:t>
      </w:r>
      <w:r w:rsidR="00674FB8">
        <w:rPr>
          <w:rFonts w:ascii="Times New Roman" w:hAnsi="Times New Roman" w:cs="Times New Roman"/>
          <w:sz w:val="28"/>
          <w:szCs w:val="28"/>
        </w:rPr>
        <w:t>.</w:t>
      </w:r>
    </w:p>
    <w:p w:rsidR="00674FB8" w:rsidRPr="00674FB8" w:rsidRDefault="00674FB8" w:rsidP="00674FB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</w:pPr>
      <w:r w:rsidRPr="00674FB8"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  <w:t>Для эффективной борьбы с коррупцией в эпоху цифровизации необходимо внедрять комплексные меры:</w:t>
      </w:r>
    </w:p>
    <w:p w:rsidR="00674FB8" w:rsidRPr="00674FB8" w:rsidRDefault="00674FB8" w:rsidP="00674FB8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</w:pPr>
      <w:r w:rsidRPr="00674FB8">
        <w:rPr>
          <w:rFonts w:ascii="Times New Roman" w:eastAsia="Times New Roman" w:hAnsi="Times New Roman" w:cs="Times New Roman"/>
          <w:b/>
          <w:bCs/>
          <w:color w:val="3C4052"/>
          <w:sz w:val="28"/>
          <w:szCs w:val="28"/>
          <w:lang w:eastAsia="ru-RU"/>
        </w:rPr>
        <w:t>Обеспечить прозрачность и открытость данных.</w:t>
      </w:r>
      <w:r w:rsidRPr="00674FB8"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  <w:t> Публикация информации о государственных закупках, доходах чиновников и расходах бюджета.</w:t>
      </w:r>
    </w:p>
    <w:p w:rsidR="00674FB8" w:rsidRPr="00674FB8" w:rsidRDefault="00674FB8" w:rsidP="00674FB8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</w:pPr>
      <w:r w:rsidRPr="00674FB8">
        <w:rPr>
          <w:rFonts w:ascii="Times New Roman" w:eastAsia="Times New Roman" w:hAnsi="Times New Roman" w:cs="Times New Roman"/>
          <w:b/>
          <w:bCs/>
          <w:color w:val="3C4052"/>
          <w:sz w:val="28"/>
          <w:szCs w:val="28"/>
          <w:lang w:eastAsia="ru-RU"/>
        </w:rPr>
        <w:t>Использовать современные технологии мониторинга.</w:t>
      </w:r>
      <w:r w:rsidRPr="00674FB8"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  <w:t> </w:t>
      </w:r>
      <w:proofErr w:type="spellStart"/>
      <w:r w:rsidRPr="00674FB8"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  <w:t>Блокчейн</w:t>
      </w:r>
      <w:proofErr w:type="spellEnd"/>
      <w:r w:rsidRPr="00674FB8"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  <w:t>, искусственный интеллект и аналитические системы помогают выявлять аномалии и подозрительные схемы.</w:t>
      </w:r>
    </w:p>
    <w:p w:rsidR="00674FB8" w:rsidRPr="00674FB8" w:rsidRDefault="00674FB8" w:rsidP="00674FB8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</w:pPr>
      <w:r w:rsidRPr="00674FB8">
        <w:rPr>
          <w:rFonts w:ascii="Times New Roman" w:eastAsia="Times New Roman" w:hAnsi="Times New Roman" w:cs="Times New Roman"/>
          <w:b/>
          <w:bCs/>
          <w:color w:val="3C4052"/>
          <w:sz w:val="28"/>
          <w:szCs w:val="28"/>
          <w:lang w:eastAsia="ru-RU"/>
        </w:rPr>
        <w:t>Обучать сотрудников и повышать их цифровую грамотность.</w:t>
      </w:r>
      <w:r w:rsidRPr="00674FB8"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  <w:t> Только подготовленные кадры смогут эффективно управлять новыми технологиями.</w:t>
      </w:r>
    </w:p>
    <w:p w:rsidR="00674FB8" w:rsidRPr="00674FB8" w:rsidRDefault="00674FB8" w:rsidP="00674FB8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</w:pPr>
      <w:r w:rsidRPr="00674FB8">
        <w:rPr>
          <w:rFonts w:ascii="Times New Roman" w:eastAsia="Times New Roman" w:hAnsi="Times New Roman" w:cs="Times New Roman"/>
          <w:b/>
          <w:bCs/>
          <w:color w:val="3C4052"/>
          <w:sz w:val="28"/>
          <w:szCs w:val="28"/>
          <w:lang w:eastAsia="ru-RU"/>
        </w:rPr>
        <w:t>Обеспечить кибербезопасность.</w:t>
      </w:r>
      <w:r w:rsidRPr="00674FB8"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  <w:t> Создавать надежные системы защиты данных и регулярно обновлять программное обеспечение.</w:t>
      </w:r>
    </w:p>
    <w:p w:rsidR="00674FB8" w:rsidRPr="00674FB8" w:rsidRDefault="00674FB8" w:rsidP="00674FB8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</w:pPr>
      <w:r w:rsidRPr="00674FB8">
        <w:rPr>
          <w:rFonts w:ascii="Times New Roman" w:eastAsia="Times New Roman" w:hAnsi="Times New Roman" w:cs="Times New Roman"/>
          <w:b/>
          <w:bCs/>
          <w:color w:val="3C4052"/>
          <w:sz w:val="28"/>
          <w:szCs w:val="28"/>
          <w:lang w:eastAsia="ru-RU"/>
        </w:rPr>
        <w:t>Активизировать гражданский контроль.</w:t>
      </w:r>
      <w:r w:rsidRPr="00674FB8"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  <w:t> Создавать платформы для обратной связи и общественного мониторинга.</w:t>
      </w:r>
    </w:p>
    <w:p w:rsidR="00674FB8" w:rsidRPr="00674FB8" w:rsidRDefault="00674FB8" w:rsidP="00674F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74FB8" w:rsidRPr="00674FB8">
      <w:footerReference w:type="defaul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30AD" w:rsidRDefault="00B330AD" w:rsidP="001266AA">
      <w:pPr>
        <w:spacing w:after="0" w:line="240" w:lineRule="auto"/>
      </w:pPr>
      <w:r>
        <w:separator/>
      </w:r>
    </w:p>
  </w:endnote>
  <w:endnote w:type="continuationSeparator" w:id="0">
    <w:p w:rsidR="00B330AD" w:rsidRDefault="00B330AD" w:rsidP="00126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32943542"/>
      <w:docPartObj>
        <w:docPartGallery w:val="Page Numbers (Bottom of Page)"/>
        <w:docPartUnique/>
      </w:docPartObj>
    </w:sdtPr>
    <w:sdtEndPr/>
    <w:sdtContent>
      <w:p w:rsidR="001266AA" w:rsidRDefault="001266A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3382">
          <w:rPr>
            <w:noProof/>
          </w:rPr>
          <w:t>9</w:t>
        </w:r>
        <w:r>
          <w:fldChar w:fldCharType="end"/>
        </w:r>
      </w:p>
    </w:sdtContent>
  </w:sdt>
  <w:p w:rsidR="001266AA" w:rsidRDefault="001266A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30AD" w:rsidRDefault="00B330AD" w:rsidP="001266AA">
      <w:pPr>
        <w:spacing w:after="0" w:line="240" w:lineRule="auto"/>
      </w:pPr>
      <w:r>
        <w:separator/>
      </w:r>
    </w:p>
  </w:footnote>
  <w:footnote w:type="continuationSeparator" w:id="0">
    <w:p w:rsidR="00B330AD" w:rsidRDefault="00B330AD" w:rsidP="001266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8565D"/>
    <w:multiLevelType w:val="hybridMultilevel"/>
    <w:tmpl w:val="FC063F12"/>
    <w:lvl w:ilvl="0" w:tplc="6652DBE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F43E1D"/>
    <w:multiLevelType w:val="hybridMultilevel"/>
    <w:tmpl w:val="C3402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8464B"/>
    <w:multiLevelType w:val="multilevel"/>
    <w:tmpl w:val="FDE61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3F4502"/>
    <w:multiLevelType w:val="hybridMultilevel"/>
    <w:tmpl w:val="DB8AD4D4"/>
    <w:lvl w:ilvl="0" w:tplc="B652E7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35080"/>
    <w:multiLevelType w:val="hybridMultilevel"/>
    <w:tmpl w:val="4FD4115E"/>
    <w:lvl w:ilvl="0" w:tplc="F072D3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9296597"/>
    <w:multiLevelType w:val="multilevel"/>
    <w:tmpl w:val="5788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5618C0"/>
    <w:multiLevelType w:val="hybridMultilevel"/>
    <w:tmpl w:val="58448E88"/>
    <w:lvl w:ilvl="0" w:tplc="12CC5EE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F2C"/>
    <w:rsid w:val="00006F0F"/>
    <w:rsid w:val="000A7B3F"/>
    <w:rsid w:val="000B35C0"/>
    <w:rsid w:val="001266AA"/>
    <w:rsid w:val="00153382"/>
    <w:rsid w:val="00263FDC"/>
    <w:rsid w:val="00364481"/>
    <w:rsid w:val="003E3027"/>
    <w:rsid w:val="00493F2C"/>
    <w:rsid w:val="00674FB8"/>
    <w:rsid w:val="006B08C9"/>
    <w:rsid w:val="008F2740"/>
    <w:rsid w:val="009105F1"/>
    <w:rsid w:val="00A56BEB"/>
    <w:rsid w:val="00A73BA1"/>
    <w:rsid w:val="00A83016"/>
    <w:rsid w:val="00B330AD"/>
    <w:rsid w:val="00D65C1E"/>
    <w:rsid w:val="00FE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10B16-FC4C-4D9C-96BF-62D3AB333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05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06F0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A56BEB"/>
    <w:rPr>
      <w:b/>
      <w:bCs/>
    </w:rPr>
  </w:style>
  <w:style w:type="character" w:customStyle="1" w:styleId="vkekvd">
    <w:name w:val="vkekvd"/>
    <w:basedOn w:val="a0"/>
    <w:rsid w:val="00A56BEB"/>
  </w:style>
  <w:style w:type="character" w:customStyle="1" w:styleId="t286pc">
    <w:name w:val="t286pc"/>
    <w:basedOn w:val="a0"/>
    <w:rsid w:val="00A56BEB"/>
  </w:style>
  <w:style w:type="character" w:styleId="a4">
    <w:name w:val="Hyperlink"/>
    <w:basedOn w:val="a0"/>
    <w:uiPriority w:val="99"/>
    <w:semiHidden/>
    <w:unhideWhenUsed/>
    <w:rsid w:val="00A56BE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910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105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List Paragraph"/>
    <w:basedOn w:val="a"/>
    <w:uiPriority w:val="34"/>
    <w:qFormat/>
    <w:rsid w:val="009105F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26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266AA"/>
  </w:style>
  <w:style w:type="paragraph" w:styleId="a9">
    <w:name w:val="footer"/>
    <w:basedOn w:val="a"/>
    <w:link w:val="aa"/>
    <w:uiPriority w:val="99"/>
    <w:unhideWhenUsed/>
    <w:rsid w:val="00126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26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12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0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0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odc.org/corruption/en/country-profiles/data/RUS.html" TargetMode="External"/><Relationship Id="rId13" Type="http://schemas.openxmlformats.org/officeDocument/2006/relationships/hyperlink" Target="https://www.unodc.org/documents/treaties/UNCAC/COSP/session8/V2006807r.pdf" TargetMode="External"/><Relationship Id="rId18" Type="http://schemas.openxmlformats.org/officeDocument/2006/relationships/hyperlink" Target="https://track.unodc.org/uploads/documents/corruption/G20-Anti-Corruption-Resources/Other-Deliverables/2025_G20_South_Africa_Compendium-Good-Practices-in-Promoting-a-Transparent-Ethical-and-Accountable-Civil-Service.pdf" TargetMode="External"/><Relationship Id="rId26" Type="http://schemas.openxmlformats.org/officeDocument/2006/relationships/hyperlink" Target="https://www.unodc.org/documents/corruption/Publications/2023/Civil_and_Administrative_Liability_for_Corruption_UNODC_2023_EN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rack.unodc.org/uploads/documents/corruption/G20-Anti-Corruption-Resources/Accountability-and-Monitoring-Reports/2025_G20_South_Africa_Accountability-Report-on-Whistleblower-Protection.pdf" TargetMode="External"/><Relationship Id="rId7" Type="http://schemas.openxmlformats.org/officeDocument/2006/relationships/hyperlink" Target="https://www.un.org/ru/documents/decl_conv/conventions/corruption.shtml" TargetMode="External"/><Relationship Id="rId12" Type="http://schemas.openxmlformats.org/officeDocument/2006/relationships/hyperlink" Target="https://track.unodc.org/uploads/documents/sports/UNODC_2025_Safeguarding_Sport_from_Corruption_-_Focus_on_BRICS_Countries.pdf" TargetMode="External"/><Relationship Id="rId17" Type="http://schemas.openxmlformats.org/officeDocument/2006/relationships/hyperlink" Target="https://track.unodc.org/uploads/documents/corruption/G20-Anti-Corruption-Resources/Principles/2025_G20_South_Africa_High-Level-Principles-on-the-Administration-of-Seized-and-Confiscated-Assets-linked-to-Corruption.pdf" TargetMode="External"/><Relationship Id="rId25" Type="http://schemas.openxmlformats.org/officeDocument/2006/relationships/hyperlink" Target="https://www.unodc.org/res/safeguardingsport/grcs/2203222_SPORTS_rus_Full_report_Ebook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mid.ru/upload/medialibrary/4fd/ydcxln7doxa2euukria4om34imjdmc9i/%D0%9F%D0%BB%D0%B0%D0%BD%20%D0%B4%D0%B5%D0%B9%D1%81%D1%82%D0%B2%D0%B8%D0%B9%20G20%202025-2027%20(%D1%81.3).pdf" TargetMode="External"/><Relationship Id="rId20" Type="http://schemas.openxmlformats.org/officeDocument/2006/relationships/hyperlink" Target="https://track.unodc.org/uploads/documents/corruption/G20-Anti-Corruption-Resources/Other-Deliverables/2025_G20_South_Africa_Report_on_impact_of_Technical_Assistance_Capacity-Building_and_Knowledge_Sharing_Initiatives_for_Asset_Recovery.pdf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id.ru/upload/medialibrary/c41/n8t6zrp3g4eatjnx96sce8cdehy32caa/BRICS%20Anti-Corruption%20Education_2024%20update_adopted.pdf" TargetMode="External"/><Relationship Id="rId24" Type="http://schemas.openxmlformats.org/officeDocument/2006/relationships/hyperlink" Target="https://www.iaca.int/iaca-programmes/online-trainings/self-paced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id.ru/upload/medialibrary/cff/msz0rlaw74oml07y43wxe8k073na50qe/%D0%90%D0%BD%D0%B0%D0%BB%D0%B8%D1%82%D0%B8%D1%87%D0%B5%D1%81%D0%BA%D0%B0%D1%8F%20%D0%B7%D0%B0%D0%BF%D0%B8%D1%81%D0%BA%D0%B0%20%D0%91%D0%A0%D0%98%D0%9A%D0%A1%20(%D1%81.2).pdf" TargetMode="External"/><Relationship Id="rId23" Type="http://schemas.openxmlformats.org/officeDocument/2006/relationships/hyperlink" Target="https://www.unodc.org/documents/treaties/UNCAC/COSP/session9/resolutions/2210869R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id.ru/upload/medialibrary/ea7/5v38om2x0faidzwbe55vyjzktnd73kou/Joint%20Statement%20CoSP11.docx" TargetMode="External"/><Relationship Id="rId19" Type="http://schemas.openxmlformats.org/officeDocument/2006/relationships/hyperlink" Target="https://track.unodc.org/uploads/documents/corruption/G20-Anti-Corruption-Resources/Other-Deliverables/2025_G20_South_Africa_Compendium-of-Good-Practices-on-the-role-of-Multi-Stakeholders-in-Preventing-and-Combating-Corruption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uments.un.org/doc/undoc/gen/n21/138/85/pdf/n2113885.pdf" TargetMode="External"/><Relationship Id="rId14" Type="http://schemas.openxmlformats.org/officeDocument/2006/relationships/hyperlink" Target="https://mid.ru/upload/medialibrary/c1a/jf8t9bs591qbl881uchtz1te2333cpoh/BRICS%20Document_Int%20Coop%20and%20AR_adopted.pdf" TargetMode="External"/><Relationship Id="rId22" Type="http://schemas.openxmlformats.org/officeDocument/2006/relationships/hyperlink" Target="https://track.unodc.org/uploads/documents/corruption/G20-Anti-Corruption-Resources/Leaders-Communiques/2025_G20_South_Africa_Anti-Corruption_Working_Group_Chairs_Statement.pdf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3995</Words>
  <Characters>22777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Кафедра юристов</cp:lastModifiedBy>
  <cp:revision>2</cp:revision>
  <dcterms:created xsi:type="dcterms:W3CDTF">2026-04-08T09:31:00Z</dcterms:created>
  <dcterms:modified xsi:type="dcterms:W3CDTF">2026-04-08T09:31:00Z</dcterms:modified>
</cp:coreProperties>
</file>